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D6B0" w14:textId="77777777" w:rsidR="00794394" w:rsidRDefault="00794394" w:rsidP="00794394">
      <w:pPr>
        <w:pStyle w:val="H2"/>
        <w:rPr>
          <w:rFonts w:hint="eastAsia"/>
        </w:rPr>
      </w:pPr>
      <w:bookmarkStart w:id="0" w:name="_Toc129090974"/>
      <w:r>
        <w:t>Business Expense Reporting and Reimbursement Policy</w:t>
      </w:r>
      <w:bookmarkEnd w:id="0"/>
    </w:p>
    <w:p w14:paraId="46FA0005" w14:textId="77777777" w:rsidR="00794394" w:rsidRPr="00780885" w:rsidRDefault="00794394" w:rsidP="00794394">
      <w:pPr>
        <w:rPr>
          <w:sz w:val="22"/>
          <w:szCs w:val="22"/>
        </w:rPr>
      </w:pPr>
      <w:r w:rsidRPr="00780885">
        <w:rPr>
          <w:sz w:val="22"/>
          <w:szCs w:val="22"/>
        </w:rPr>
        <w:t xml:space="preserve">This Nutramax Employee Handbook (the “Handbook”) provides important guidelines concerning employment with Nutramax Laboratories, Inc.; Nutramax Laboratories Consumer Care, Inc.; Nutramax Laboratories Veterinary Sciences, Inc.; and Nutramax Manufacturing, Inc. (collectively, “Nutramax” or the “Company”), including reasonable business expenses incurred on behalf of Nutramax. This expense reporting and reimbursement policy further elaborates on the issue of expense reimbursement related to the performance of job requirements. </w:t>
      </w:r>
    </w:p>
    <w:p w14:paraId="7FDF90BC" w14:textId="77777777" w:rsidR="00794394" w:rsidRPr="00780885" w:rsidRDefault="00794394" w:rsidP="00794394">
      <w:pPr>
        <w:rPr>
          <w:sz w:val="22"/>
          <w:szCs w:val="22"/>
        </w:rPr>
      </w:pPr>
      <w:r w:rsidRPr="00780885">
        <w:rPr>
          <w:sz w:val="22"/>
          <w:szCs w:val="22"/>
        </w:rPr>
        <w:t xml:space="preserve">Items to be reimbursed must be substantiated by evidence of the expenditure (i.e., itemized receipt, detail invoice or other acceptable documentation) for all amounts greater than $25. Line-item charges on credit card statements are not acceptable. Expense reports are reviewed and approved by the employee’s supervisor or other designee. It is expected that the employee will use professional judgement when incurring business expenses. Management reserves the right to adjust and/or deny expenses for reimbursement that are deemed unreasonable. Reimbursement for expenses that are not addressed by this policy require the prior written approval of the employee’s supervisor and the Corporate Controller. </w:t>
      </w:r>
    </w:p>
    <w:p w14:paraId="3EC08318" w14:textId="77777777" w:rsidR="00794394" w:rsidRPr="00780885" w:rsidRDefault="00794394" w:rsidP="00794394">
      <w:pPr>
        <w:rPr>
          <w:sz w:val="22"/>
          <w:szCs w:val="22"/>
        </w:rPr>
      </w:pPr>
      <w:r w:rsidRPr="00780885">
        <w:rPr>
          <w:sz w:val="22"/>
          <w:szCs w:val="22"/>
        </w:rPr>
        <w:t xml:space="preserve">Nutramax complies with IRS regulations, which require that all business expenses be substantiated with adequate records (i.e. receipt, invoice, etc.).  This substantiation must include information relating to: </w:t>
      </w:r>
    </w:p>
    <w:p w14:paraId="7A7200DD" w14:textId="77777777" w:rsidR="00794394" w:rsidRPr="00780885" w:rsidRDefault="00794394" w:rsidP="00794394">
      <w:pPr>
        <w:pStyle w:val="NoSpacing"/>
        <w:numPr>
          <w:ilvl w:val="0"/>
          <w:numId w:val="1"/>
        </w:numPr>
        <w:rPr>
          <w:rFonts w:cs="Times New Roman"/>
        </w:rPr>
      </w:pPr>
      <w:r w:rsidRPr="00780885">
        <w:rPr>
          <w:rFonts w:cs="Times New Roman"/>
        </w:rPr>
        <w:t xml:space="preserve">the amount of the </w:t>
      </w:r>
      <w:proofErr w:type="gramStart"/>
      <w:r w:rsidRPr="00780885">
        <w:rPr>
          <w:rFonts w:cs="Times New Roman"/>
        </w:rPr>
        <w:t>expenditure;</w:t>
      </w:r>
      <w:proofErr w:type="gramEnd"/>
      <w:r w:rsidRPr="00780885">
        <w:rPr>
          <w:rFonts w:cs="Times New Roman"/>
        </w:rPr>
        <w:t xml:space="preserve"> </w:t>
      </w:r>
    </w:p>
    <w:p w14:paraId="029813A0" w14:textId="77777777" w:rsidR="00794394" w:rsidRPr="00780885" w:rsidRDefault="00794394" w:rsidP="00794394">
      <w:pPr>
        <w:pStyle w:val="NoSpacing"/>
        <w:numPr>
          <w:ilvl w:val="0"/>
          <w:numId w:val="1"/>
        </w:numPr>
        <w:rPr>
          <w:rFonts w:cs="Times New Roman"/>
        </w:rPr>
      </w:pPr>
      <w:r w:rsidRPr="00780885">
        <w:rPr>
          <w:rFonts w:cs="Times New Roman"/>
        </w:rPr>
        <w:t xml:space="preserve">the date and business name and address of the </w:t>
      </w:r>
      <w:proofErr w:type="gramStart"/>
      <w:r w:rsidRPr="00780885">
        <w:rPr>
          <w:rFonts w:cs="Times New Roman"/>
        </w:rPr>
        <w:t>expenditure;</w:t>
      </w:r>
      <w:proofErr w:type="gramEnd"/>
      <w:r w:rsidRPr="00780885">
        <w:rPr>
          <w:rFonts w:cs="Times New Roman"/>
        </w:rPr>
        <w:t xml:space="preserve"> </w:t>
      </w:r>
    </w:p>
    <w:p w14:paraId="1F35A5FD" w14:textId="77777777" w:rsidR="00794394" w:rsidRPr="00780885" w:rsidRDefault="00794394" w:rsidP="00794394">
      <w:pPr>
        <w:pStyle w:val="NoSpacing"/>
        <w:numPr>
          <w:ilvl w:val="0"/>
          <w:numId w:val="1"/>
        </w:numPr>
        <w:rPr>
          <w:rFonts w:cs="Times New Roman"/>
        </w:rPr>
      </w:pPr>
      <w:r w:rsidRPr="00780885">
        <w:rPr>
          <w:rFonts w:cs="Times New Roman"/>
        </w:rPr>
        <w:t xml:space="preserve">the business purpose of the expenditure; and </w:t>
      </w:r>
    </w:p>
    <w:p w14:paraId="682D8B9D" w14:textId="77777777" w:rsidR="00794394" w:rsidRPr="00780885" w:rsidRDefault="00794394" w:rsidP="00794394">
      <w:pPr>
        <w:pStyle w:val="NoSpacing"/>
        <w:numPr>
          <w:ilvl w:val="0"/>
          <w:numId w:val="1"/>
        </w:numPr>
        <w:rPr>
          <w:rFonts w:cs="Times New Roman"/>
        </w:rPr>
      </w:pPr>
      <w:r w:rsidRPr="00780885">
        <w:rPr>
          <w:rFonts w:cs="Times New Roman"/>
        </w:rPr>
        <w:t>the names and the business relationships of individuals other than the employee for whom the expenditures were made.</w:t>
      </w:r>
    </w:p>
    <w:p w14:paraId="3651F96D" w14:textId="77777777" w:rsidR="00794394" w:rsidRPr="00780885" w:rsidRDefault="00794394" w:rsidP="00794394">
      <w:pPr>
        <w:pStyle w:val="NoSpacing"/>
        <w:rPr>
          <w:rFonts w:cs="Times New Roman"/>
        </w:rPr>
      </w:pPr>
    </w:p>
    <w:p w14:paraId="01DA99F3" w14:textId="77777777" w:rsidR="00794394" w:rsidRPr="00780885" w:rsidRDefault="00794394" w:rsidP="00794394">
      <w:pPr>
        <w:rPr>
          <w:sz w:val="22"/>
          <w:szCs w:val="22"/>
        </w:rPr>
      </w:pPr>
      <w:r w:rsidRPr="00780885">
        <w:rPr>
          <w:sz w:val="22"/>
          <w:szCs w:val="22"/>
        </w:rPr>
        <w:t>Violations of this policy may result in denial of expense reimbursement. Falsification of expense reports will be grounds for disciplinary and corrective action, up to and including termination of employment.</w:t>
      </w:r>
    </w:p>
    <w:p w14:paraId="3A50C077" w14:textId="77777777" w:rsidR="00794394" w:rsidRDefault="00794394" w:rsidP="00794394">
      <w:pPr>
        <w:rPr>
          <w:b/>
          <w:sz w:val="22"/>
          <w:szCs w:val="22"/>
          <w:u w:val="single"/>
        </w:rPr>
      </w:pPr>
    </w:p>
    <w:p w14:paraId="46F4701F" w14:textId="77777777" w:rsidR="00794394" w:rsidRPr="00930BA2" w:rsidRDefault="00794394" w:rsidP="00794394">
      <w:pPr>
        <w:rPr>
          <w:b/>
          <w:sz w:val="22"/>
          <w:szCs w:val="22"/>
        </w:rPr>
      </w:pPr>
      <w:r w:rsidRPr="00930BA2">
        <w:rPr>
          <w:b/>
          <w:sz w:val="22"/>
          <w:szCs w:val="22"/>
        </w:rPr>
        <w:t>Expense Reporting Methods</w:t>
      </w:r>
    </w:p>
    <w:p w14:paraId="2A7E2C68" w14:textId="77777777" w:rsidR="00794394" w:rsidRDefault="00794394" w:rsidP="00794394">
      <w:pPr>
        <w:rPr>
          <w:b/>
          <w:sz w:val="22"/>
          <w:szCs w:val="22"/>
        </w:rPr>
      </w:pPr>
    </w:p>
    <w:p w14:paraId="457A4EC6" w14:textId="77777777" w:rsidR="00794394" w:rsidRPr="00780885" w:rsidRDefault="00794394" w:rsidP="00794394">
      <w:pPr>
        <w:rPr>
          <w:b/>
          <w:sz w:val="22"/>
          <w:szCs w:val="22"/>
        </w:rPr>
      </w:pPr>
      <w:r w:rsidRPr="00780885">
        <w:rPr>
          <w:b/>
          <w:sz w:val="22"/>
          <w:szCs w:val="22"/>
        </w:rPr>
        <w:t>Electronic Expense Reporting</w:t>
      </w:r>
    </w:p>
    <w:p w14:paraId="002CD63A" w14:textId="77777777" w:rsidR="00794394" w:rsidRPr="00780885" w:rsidRDefault="00794394" w:rsidP="00794394">
      <w:pPr>
        <w:rPr>
          <w:sz w:val="22"/>
          <w:szCs w:val="22"/>
        </w:rPr>
      </w:pPr>
      <w:r w:rsidRPr="00780885">
        <w:rPr>
          <w:sz w:val="22"/>
          <w:szCs w:val="22"/>
        </w:rPr>
        <w:t>Only expenses paid for by the employee using personal credit cards or funds are eligible for submission using the electronic reporting method.</w:t>
      </w:r>
    </w:p>
    <w:p w14:paraId="53232FCF" w14:textId="77777777" w:rsidR="00794394" w:rsidRPr="00780885" w:rsidRDefault="00794394" w:rsidP="00794394">
      <w:pPr>
        <w:rPr>
          <w:sz w:val="22"/>
          <w:szCs w:val="22"/>
        </w:rPr>
      </w:pPr>
      <w:r w:rsidRPr="00780885">
        <w:rPr>
          <w:sz w:val="22"/>
          <w:szCs w:val="22"/>
        </w:rPr>
        <w:t xml:space="preserve">Electronic expense reporting is provided through our payroll system via an expense management application. This method of expense reporting is required for all employees who have access to the application. </w:t>
      </w:r>
    </w:p>
    <w:p w14:paraId="07EDEFA5" w14:textId="77777777" w:rsidR="00794394" w:rsidRPr="00780885" w:rsidRDefault="00794394" w:rsidP="00794394">
      <w:pPr>
        <w:rPr>
          <w:sz w:val="22"/>
          <w:szCs w:val="22"/>
        </w:rPr>
      </w:pPr>
      <w:r w:rsidRPr="00780885">
        <w:rPr>
          <w:sz w:val="22"/>
          <w:szCs w:val="22"/>
        </w:rPr>
        <w:t>Employees will be required to scan or take images of their receipts with their phones, select the appropriate expense category along with a description of the expense, then upload the item to the application. Once submitted and approved by your supervisor and/or manager, the expenses will be reimbursed through the payroll system as a direct deposit.</w:t>
      </w:r>
    </w:p>
    <w:p w14:paraId="4E0F4DD4" w14:textId="77777777" w:rsidR="00794394" w:rsidRPr="00780885" w:rsidRDefault="00794394" w:rsidP="00794394">
      <w:pPr>
        <w:rPr>
          <w:sz w:val="22"/>
          <w:szCs w:val="22"/>
        </w:rPr>
      </w:pPr>
      <w:r w:rsidRPr="00780885">
        <w:rPr>
          <w:sz w:val="22"/>
          <w:szCs w:val="22"/>
        </w:rPr>
        <w:t xml:space="preserve">Electronic expense reports shall be promptly submitted, and in no event more than twenty-five (25) days after the expense. Reimbursement requests that are incomplete, lacking substantiation, or submitted more than twenty-five (25) days after the expense date may be rejected. </w:t>
      </w:r>
    </w:p>
    <w:p w14:paraId="3C29A365" w14:textId="77777777" w:rsidR="00794394" w:rsidRDefault="00794394" w:rsidP="00794394">
      <w:pPr>
        <w:rPr>
          <w:b/>
          <w:sz w:val="22"/>
          <w:szCs w:val="22"/>
        </w:rPr>
      </w:pPr>
    </w:p>
    <w:p w14:paraId="246E2A51" w14:textId="77777777" w:rsidR="00794394" w:rsidRPr="00780885" w:rsidRDefault="00794394" w:rsidP="00794394">
      <w:pPr>
        <w:rPr>
          <w:b/>
          <w:sz w:val="22"/>
          <w:szCs w:val="22"/>
        </w:rPr>
      </w:pPr>
      <w:r w:rsidRPr="00780885">
        <w:rPr>
          <w:b/>
          <w:sz w:val="22"/>
          <w:szCs w:val="22"/>
        </w:rPr>
        <w:t>Manual Expense Reporting</w:t>
      </w:r>
    </w:p>
    <w:p w14:paraId="315A29FD" w14:textId="77777777" w:rsidR="00794394" w:rsidRPr="00780885" w:rsidRDefault="00794394" w:rsidP="00794394">
      <w:pPr>
        <w:rPr>
          <w:sz w:val="22"/>
          <w:szCs w:val="22"/>
        </w:rPr>
      </w:pPr>
      <w:r w:rsidRPr="00780885">
        <w:rPr>
          <w:sz w:val="22"/>
          <w:szCs w:val="22"/>
        </w:rPr>
        <w:t xml:space="preserve">Expenses paid for with corporate credit cards must be submitted using the manual expense reporting method. </w:t>
      </w:r>
    </w:p>
    <w:p w14:paraId="6B098A1A" w14:textId="77777777" w:rsidR="00794394" w:rsidRPr="00780885" w:rsidRDefault="00794394" w:rsidP="00794394">
      <w:pPr>
        <w:rPr>
          <w:sz w:val="22"/>
          <w:szCs w:val="22"/>
        </w:rPr>
      </w:pPr>
      <w:r w:rsidRPr="00780885">
        <w:rPr>
          <w:sz w:val="22"/>
          <w:szCs w:val="22"/>
        </w:rPr>
        <w:t>The expense reimbursement request form is available in the Shared (</w:t>
      </w:r>
      <w:hyperlink r:id="rId5" w:history="1">
        <w:r w:rsidRPr="00780885">
          <w:rPr>
            <w:rStyle w:val="Hyperlink"/>
            <w:rFonts w:eastAsiaTheme="majorEastAsia"/>
            <w:sz w:val="22"/>
            <w:szCs w:val="22"/>
          </w:rPr>
          <w:t>\\Server19</w:t>
        </w:r>
      </w:hyperlink>
      <w:r w:rsidRPr="00780885">
        <w:rPr>
          <w:sz w:val="22"/>
          <w:szCs w:val="22"/>
        </w:rPr>
        <w:t xml:space="preserve">) (S:) Forms Documents\Expense Reports folder on the Nutramax Network. Each expense shall be separately identified on the form and original receipts must be attached. Forms shall be dated and signed by the </w:t>
      </w:r>
      <w:r w:rsidRPr="00780885">
        <w:rPr>
          <w:sz w:val="22"/>
          <w:szCs w:val="22"/>
        </w:rPr>
        <w:lastRenderedPageBreak/>
        <w:t xml:space="preserve">employee then reviewed, approved and signed by their supervisor/manager. Approved expense reports and receipts should be forwarded to Accounts Payable for processing. </w:t>
      </w:r>
    </w:p>
    <w:p w14:paraId="6803F450" w14:textId="77777777" w:rsidR="00794394" w:rsidRPr="00780885" w:rsidRDefault="00794394" w:rsidP="00794394">
      <w:pPr>
        <w:rPr>
          <w:sz w:val="22"/>
          <w:szCs w:val="22"/>
        </w:rPr>
      </w:pPr>
      <w:r w:rsidRPr="00780885">
        <w:rPr>
          <w:sz w:val="22"/>
          <w:szCs w:val="22"/>
        </w:rPr>
        <w:t>The approval process for corporate credit card payments requires that expense reports be submitted to allow processing prior to the credit card payment due date. All manual expense reports must therefore be submitted no later than 5 business days after the corporate credit card statement date. Late fees incurred on corporate credit cards due to an employee’s failure to submit expense reports in a timely manner will not be reimbursed by Nutramax.</w:t>
      </w:r>
    </w:p>
    <w:p w14:paraId="7AC09E6A" w14:textId="77777777" w:rsidR="00794394" w:rsidRDefault="00794394" w:rsidP="00794394">
      <w:pPr>
        <w:rPr>
          <w:b/>
          <w:sz w:val="22"/>
          <w:szCs w:val="22"/>
          <w:u w:val="single"/>
        </w:rPr>
      </w:pPr>
    </w:p>
    <w:p w14:paraId="4A8A444A" w14:textId="77777777" w:rsidR="00794394" w:rsidRPr="00780885" w:rsidRDefault="00794394" w:rsidP="00794394">
      <w:pPr>
        <w:rPr>
          <w:b/>
          <w:sz w:val="22"/>
          <w:szCs w:val="22"/>
        </w:rPr>
      </w:pPr>
      <w:r w:rsidRPr="00780885">
        <w:rPr>
          <w:b/>
          <w:sz w:val="22"/>
          <w:szCs w:val="22"/>
          <w:u w:val="single"/>
        </w:rPr>
        <w:t>Expense Report Approval</w:t>
      </w:r>
    </w:p>
    <w:p w14:paraId="356AA76C" w14:textId="77777777" w:rsidR="00794394" w:rsidRPr="00780885" w:rsidRDefault="00794394" w:rsidP="00794394">
      <w:pPr>
        <w:rPr>
          <w:sz w:val="22"/>
          <w:szCs w:val="22"/>
        </w:rPr>
      </w:pPr>
      <w:r w:rsidRPr="00780885">
        <w:rPr>
          <w:sz w:val="22"/>
          <w:szCs w:val="22"/>
        </w:rPr>
        <w:t>Supervisors/Managers approving expense reports are responsible for ensuring that the expenses reported are reasonable, necessary, and reimbursable under this Policy. Supervisors/Managers must ensure that the expense report has been filled out accurately and includes the required receipt documentation. Incomplete reports should be returned to the employee for correction before approving and forwarding to Accounts Payable.</w:t>
      </w:r>
    </w:p>
    <w:p w14:paraId="57A59A39" w14:textId="77777777" w:rsidR="00794394" w:rsidRPr="00780885" w:rsidRDefault="00794394" w:rsidP="00794394">
      <w:pPr>
        <w:rPr>
          <w:sz w:val="22"/>
          <w:szCs w:val="22"/>
          <w:u w:val="single"/>
        </w:rPr>
      </w:pPr>
    </w:p>
    <w:p w14:paraId="071A5B32" w14:textId="77777777" w:rsidR="00794394" w:rsidRPr="00780885" w:rsidRDefault="00794394" w:rsidP="00794394">
      <w:pPr>
        <w:rPr>
          <w:b/>
          <w:sz w:val="22"/>
          <w:szCs w:val="22"/>
          <w:u w:val="single"/>
        </w:rPr>
      </w:pPr>
      <w:r w:rsidRPr="00780885">
        <w:rPr>
          <w:b/>
          <w:sz w:val="22"/>
          <w:szCs w:val="22"/>
          <w:u w:val="single"/>
        </w:rPr>
        <w:t>Reimbursable Expense:</w:t>
      </w:r>
    </w:p>
    <w:p w14:paraId="19294284" w14:textId="77777777" w:rsidR="00794394" w:rsidRPr="00780885" w:rsidRDefault="00794394" w:rsidP="00794394">
      <w:pPr>
        <w:pStyle w:val="NoSpacing"/>
        <w:numPr>
          <w:ilvl w:val="0"/>
          <w:numId w:val="3"/>
        </w:numPr>
      </w:pPr>
      <w:r w:rsidRPr="00780885">
        <w:t>Meals, including tips not to exceed 20%</w:t>
      </w:r>
    </w:p>
    <w:p w14:paraId="5EE98204" w14:textId="77777777" w:rsidR="00794394" w:rsidRPr="00780885" w:rsidRDefault="00794394" w:rsidP="00794394">
      <w:pPr>
        <w:pStyle w:val="NoSpacing"/>
        <w:numPr>
          <w:ilvl w:val="0"/>
          <w:numId w:val="3"/>
        </w:numPr>
      </w:pPr>
      <w:r w:rsidRPr="00780885">
        <w:t xml:space="preserve">Reasonable business entertainment expenses </w:t>
      </w:r>
    </w:p>
    <w:p w14:paraId="3F2DB8E8" w14:textId="77777777" w:rsidR="00794394" w:rsidRPr="00780885" w:rsidRDefault="00794394" w:rsidP="00794394">
      <w:pPr>
        <w:pStyle w:val="NoSpacing"/>
        <w:numPr>
          <w:ilvl w:val="0"/>
          <w:numId w:val="3"/>
        </w:numPr>
      </w:pPr>
      <w:r w:rsidRPr="00780885">
        <w:t xml:space="preserve">Lodging charges and related tips (bellhops, door attendants, etc.), tips not to exceed $20.00 per day in total </w:t>
      </w:r>
    </w:p>
    <w:p w14:paraId="581B73DF" w14:textId="77777777" w:rsidR="00794394" w:rsidRPr="00780885" w:rsidRDefault="00794394" w:rsidP="00794394">
      <w:pPr>
        <w:pStyle w:val="NoSpacing"/>
        <w:numPr>
          <w:ilvl w:val="0"/>
          <w:numId w:val="3"/>
        </w:numPr>
      </w:pPr>
      <w:r w:rsidRPr="00780885">
        <w:t xml:space="preserve">Rental car expenses </w:t>
      </w:r>
    </w:p>
    <w:p w14:paraId="303918D1" w14:textId="77777777" w:rsidR="00794394" w:rsidRPr="00780885" w:rsidRDefault="00794394" w:rsidP="00794394">
      <w:pPr>
        <w:pStyle w:val="NoSpacing"/>
        <w:numPr>
          <w:ilvl w:val="0"/>
          <w:numId w:val="3"/>
        </w:numPr>
      </w:pPr>
      <w:r w:rsidRPr="00780885">
        <w:t xml:space="preserve">Personal vehicle mileage </w:t>
      </w:r>
    </w:p>
    <w:p w14:paraId="1979C57F" w14:textId="77777777" w:rsidR="00794394" w:rsidRPr="00780885" w:rsidRDefault="00794394" w:rsidP="00794394">
      <w:pPr>
        <w:pStyle w:val="NoSpacing"/>
        <w:numPr>
          <w:ilvl w:val="0"/>
          <w:numId w:val="3"/>
        </w:numPr>
      </w:pPr>
      <w:r w:rsidRPr="00780885">
        <w:t>Airfare, train fare and bus fare</w:t>
      </w:r>
    </w:p>
    <w:p w14:paraId="6F9A5C1F" w14:textId="77777777" w:rsidR="00794394" w:rsidRPr="00780885" w:rsidRDefault="00794394" w:rsidP="00794394">
      <w:pPr>
        <w:pStyle w:val="NoSpacing"/>
        <w:numPr>
          <w:ilvl w:val="0"/>
          <w:numId w:val="3"/>
        </w:numPr>
      </w:pPr>
      <w:r w:rsidRPr="00780885">
        <w:t xml:space="preserve">Taxicabs, shuttles, ridesharing and related tips, not to exceed 20% </w:t>
      </w:r>
    </w:p>
    <w:p w14:paraId="0FCCF9F1" w14:textId="77777777" w:rsidR="00794394" w:rsidRPr="00780885" w:rsidRDefault="00794394" w:rsidP="00794394">
      <w:pPr>
        <w:pStyle w:val="NoSpacing"/>
        <w:numPr>
          <w:ilvl w:val="0"/>
          <w:numId w:val="3"/>
        </w:numPr>
      </w:pPr>
      <w:r w:rsidRPr="00780885">
        <w:t>Business telephone calls only in the event an employee does not have or is unable to use a reimbursed cell phone</w:t>
      </w:r>
    </w:p>
    <w:p w14:paraId="459D3C96" w14:textId="77777777" w:rsidR="00794394" w:rsidRPr="00780885" w:rsidRDefault="00794394" w:rsidP="00794394">
      <w:pPr>
        <w:pStyle w:val="NoSpacing"/>
        <w:numPr>
          <w:ilvl w:val="0"/>
          <w:numId w:val="3"/>
        </w:numPr>
      </w:pPr>
      <w:r w:rsidRPr="00780885">
        <w:t>Charges for internet connectivity in a hotel or during flights</w:t>
      </w:r>
    </w:p>
    <w:p w14:paraId="3C2A1C83" w14:textId="77777777" w:rsidR="00794394" w:rsidRPr="00780885" w:rsidRDefault="00794394" w:rsidP="00794394">
      <w:pPr>
        <w:pStyle w:val="NoSpacing"/>
        <w:numPr>
          <w:ilvl w:val="0"/>
          <w:numId w:val="3"/>
        </w:numPr>
      </w:pPr>
      <w:r w:rsidRPr="00780885">
        <w:t xml:space="preserve">Toll and parking charges.  Valet parking should only be used when other reasonable parking options are not available.  Tip should not exceed $20.00 per day in total </w:t>
      </w:r>
    </w:p>
    <w:p w14:paraId="36949526" w14:textId="77777777" w:rsidR="00794394" w:rsidRPr="00780885" w:rsidRDefault="00794394" w:rsidP="00794394">
      <w:pPr>
        <w:pStyle w:val="NoSpacing"/>
        <w:numPr>
          <w:ilvl w:val="0"/>
          <w:numId w:val="3"/>
        </w:numPr>
      </w:pPr>
      <w:r w:rsidRPr="00780885">
        <w:t xml:space="preserve">Conference and convention fees </w:t>
      </w:r>
    </w:p>
    <w:p w14:paraId="7D2A982F" w14:textId="77777777" w:rsidR="00794394" w:rsidRPr="00780885" w:rsidRDefault="00794394" w:rsidP="00794394">
      <w:pPr>
        <w:pStyle w:val="NoSpacing"/>
        <w:numPr>
          <w:ilvl w:val="0"/>
          <w:numId w:val="3"/>
        </w:numPr>
      </w:pPr>
      <w:r w:rsidRPr="00780885">
        <w:t>Professional licenses, certifications and continuing education related to an employee’s job description</w:t>
      </w:r>
    </w:p>
    <w:p w14:paraId="661D4AEB" w14:textId="77777777" w:rsidR="00794394" w:rsidRPr="00780885" w:rsidRDefault="00794394" w:rsidP="00794394">
      <w:pPr>
        <w:pStyle w:val="NoSpacing"/>
        <w:numPr>
          <w:ilvl w:val="0"/>
          <w:numId w:val="3"/>
        </w:numPr>
      </w:pPr>
      <w:r w:rsidRPr="00780885">
        <w:t>Educational Assistance – see Employee Handbook policy for details</w:t>
      </w:r>
    </w:p>
    <w:p w14:paraId="0CCFFF5A" w14:textId="77777777" w:rsidR="00794394" w:rsidRPr="00780885" w:rsidRDefault="00794394" w:rsidP="00794394">
      <w:pPr>
        <w:pStyle w:val="NoSpacing"/>
        <w:numPr>
          <w:ilvl w:val="0"/>
          <w:numId w:val="3"/>
        </w:numPr>
      </w:pPr>
      <w:r w:rsidRPr="00780885">
        <w:t>Business gifts in compliance with the Handbook and the Business Gifts, Entertainment and Conflict of Interest Policy</w:t>
      </w:r>
    </w:p>
    <w:p w14:paraId="2283DB57" w14:textId="77777777" w:rsidR="00794394" w:rsidRPr="00780885" w:rsidRDefault="00794394" w:rsidP="00794394">
      <w:pPr>
        <w:pStyle w:val="NoSpacing"/>
        <w:numPr>
          <w:ilvl w:val="0"/>
          <w:numId w:val="3"/>
        </w:numPr>
      </w:pPr>
      <w:r w:rsidRPr="00780885">
        <w:t xml:space="preserve">Miscellaneous business costs (i.e., copying, faxing, etc.) </w:t>
      </w:r>
    </w:p>
    <w:p w14:paraId="3782628F" w14:textId="77777777" w:rsidR="00794394" w:rsidRPr="00780885" w:rsidRDefault="00794394" w:rsidP="00794394">
      <w:pPr>
        <w:pStyle w:val="NoSpacing"/>
        <w:numPr>
          <w:ilvl w:val="0"/>
          <w:numId w:val="3"/>
        </w:numPr>
      </w:pPr>
      <w:r w:rsidRPr="00780885">
        <w:t>Home office expenses for remote sales employees (i.e. internet, printer paper, printer ink, etc.)</w:t>
      </w:r>
    </w:p>
    <w:p w14:paraId="200BEC81" w14:textId="77777777" w:rsidR="00794394" w:rsidRPr="00780885" w:rsidRDefault="00794394" w:rsidP="00794394">
      <w:pPr>
        <w:pStyle w:val="NoSpacing"/>
        <w:numPr>
          <w:ilvl w:val="0"/>
          <w:numId w:val="3"/>
        </w:numPr>
      </w:pPr>
      <w:r w:rsidRPr="00780885">
        <w:t xml:space="preserve">Laundry and/or dry-cleaning expenses during trips </w:t>
      </w:r>
      <w:proofErr w:type="gramStart"/>
      <w:r w:rsidRPr="00780885">
        <w:t>in excess of</w:t>
      </w:r>
      <w:proofErr w:type="gramEnd"/>
      <w:r w:rsidRPr="00780885">
        <w:t xml:space="preserve"> five days </w:t>
      </w:r>
    </w:p>
    <w:p w14:paraId="047CE191" w14:textId="77777777" w:rsidR="00794394" w:rsidRPr="00780885" w:rsidRDefault="00794394" w:rsidP="00794394">
      <w:pPr>
        <w:rPr>
          <w:sz w:val="22"/>
          <w:szCs w:val="22"/>
        </w:rPr>
      </w:pPr>
    </w:p>
    <w:p w14:paraId="45E61CD7" w14:textId="77777777" w:rsidR="00794394" w:rsidRPr="00780885" w:rsidRDefault="00794394" w:rsidP="00794394">
      <w:pPr>
        <w:rPr>
          <w:b/>
          <w:sz w:val="22"/>
          <w:szCs w:val="22"/>
        </w:rPr>
      </w:pPr>
      <w:r w:rsidRPr="00780885">
        <w:rPr>
          <w:b/>
          <w:sz w:val="22"/>
          <w:szCs w:val="22"/>
        </w:rPr>
        <w:t>Meals While Travelling</w:t>
      </w:r>
    </w:p>
    <w:p w14:paraId="27ED418B" w14:textId="77777777" w:rsidR="00794394" w:rsidRPr="00780885" w:rsidRDefault="00794394" w:rsidP="00794394">
      <w:pPr>
        <w:rPr>
          <w:b/>
          <w:i/>
          <w:sz w:val="22"/>
          <w:szCs w:val="22"/>
        </w:rPr>
      </w:pPr>
      <w:r w:rsidRPr="00780885">
        <w:rPr>
          <w:sz w:val="22"/>
          <w:szCs w:val="22"/>
        </w:rPr>
        <w:t>Employee meals while traveling should not exceed $</w:t>
      </w:r>
      <w:r>
        <w:rPr>
          <w:sz w:val="22"/>
          <w:szCs w:val="22"/>
        </w:rPr>
        <w:t>8</w:t>
      </w:r>
      <w:r w:rsidRPr="00780885">
        <w:rPr>
          <w:sz w:val="22"/>
          <w:szCs w:val="22"/>
        </w:rPr>
        <w:t>0.00 per day. Certain cities or regions where the cost of living is higher may require an exception to the $</w:t>
      </w:r>
      <w:r>
        <w:rPr>
          <w:sz w:val="22"/>
          <w:szCs w:val="22"/>
        </w:rPr>
        <w:t>8</w:t>
      </w:r>
      <w:r w:rsidRPr="00780885">
        <w:rPr>
          <w:sz w:val="22"/>
          <w:szCs w:val="22"/>
        </w:rPr>
        <w:t xml:space="preserve">0.00 per day limit. Such exceptions may be approved by Supervisors/Managers. </w:t>
      </w:r>
      <w:r w:rsidRPr="00780885">
        <w:rPr>
          <w:b/>
          <w:sz w:val="22"/>
          <w:szCs w:val="22"/>
        </w:rPr>
        <w:t>See the International Travel section of this Policy for additional meals while traveling exceptions.</w:t>
      </w:r>
      <w:r w:rsidRPr="00780885">
        <w:rPr>
          <w:sz w:val="22"/>
          <w:szCs w:val="22"/>
        </w:rPr>
        <w:t xml:space="preserve"> Itemized receipts must be provided for all meals exceeding $25.00. Tips should be limited to 20% of the pre-tax amount of the bill. </w:t>
      </w:r>
    </w:p>
    <w:p w14:paraId="53F83861" w14:textId="77777777" w:rsidR="00794394" w:rsidRDefault="00794394" w:rsidP="00794394">
      <w:pPr>
        <w:rPr>
          <w:b/>
          <w:bCs/>
          <w:sz w:val="22"/>
          <w:szCs w:val="22"/>
        </w:rPr>
      </w:pPr>
    </w:p>
    <w:p w14:paraId="7497B4A1" w14:textId="77777777" w:rsidR="00794394" w:rsidRPr="00780885" w:rsidRDefault="00794394" w:rsidP="00794394">
      <w:pPr>
        <w:rPr>
          <w:b/>
          <w:bCs/>
          <w:sz w:val="22"/>
          <w:szCs w:val="22"/>
        </w:rPr>
      </w:pPr>
      <w:r w:rsidRPr="00780885">
        <w:rPr>
          <w:b/>
          <w:bCs/>
          <w:sz w:val="22"/>
          <w:szCs w:val="22"/>
        </w:rPr>
        <w:t>Alcohol Policy</w:t>
      </w:r>
    </w:p>
    <w:p w14:paraId="7AF98B0E" w14:textId="77777777" w:rsidR="00794394" w:rsidRPr="00780885" w:rsidRDefault="00794394" w:rsidP="00794394">
      <w:pPr>
        <w:rPr>
          <w:sz w:val="22"/>
          <w:szCs w:val="22"/>
        </w:rPr>
      </w:pPr>
      <w:r w:rsidRPr="00780885">
        <w:rPr>
          <w:sz w:val="22"/>
          <w:szCs w:val="22"/>
        </w:rPr>
        <w:lastRenderedPageBreak/>
        <w:t xml:space="preserve">Nutramax will </w:t>
      </w:r>
      <w:r w:rsidRPr="00780885">
        <w:rPr>
          <w:b/>
          <w:bCs/>
          <w:sz w:val="22"/>
          <w:szCs w:val="22"/>
        </w:rPr>
        <w:t>not</w:t>
      </w:r>
      <w:r w:rsidRPr="00780885">
        <w:rPr>
          <w:sz w:val="22"/>
          <w:szCs w:val="22"/>
        </w:rPr>
        <w:t xml:space="preserve"> reimburse for alcohol expenses unless related to a business meal or entertainment with a person outside of Nutramax that relates to business activities or facilitates the conduct of Nutramax business. General guidelines are that such events will involve no more than 2 alcoholic beverages, per day, per person. We do realize that depending on the non-employees attending the business event, exceptions may need to be made to these guidelines.  Employees are expected to use professional judgement in these circumstances. Any events that involve only Nutramax Employees (e.g., National Sales Meetings) may provide alcohol if approved in advance by the Department VP</w:t>
      </w:r>
      <w:r>
        <w:rPr>
          <w:sz w:val="22"/>
          <w:szCs w:val="22"/>
        </w:rPr>
        <w:t>,</w:t>
      </w:r>
      <w:r w:rsidRPr="00780885">
        <w:rPr>
          <w:sz w:val="22"/>
          <w:szCs w:val="22"/>
        </w:rPr>
        <w:t xml:space="preserve"> CEO</w:t>
      </w:r>
      <w:r>
        <w:rPr>
          <w:sz w:val="22"/>
          <w:szCs w:val="22"/>
        </w:rPr>
        <w:t>, Executive VP</w:t>
      </w:r>
      <w:r w:rsidRPr="00780885">
        <w:rPr>
          <w:sz w:val="22"/>
          <w:szCs w:val="22"/>
        </w:rPr>
        <w:t xml:space="preserve"> or CFO. Such pre-approved events must follow the 2 alcoholic beverages, per day, per person guidelines. </w:t>
      </w:r>
    </w:p>
    <w:p w14:paraId="5258A0FB" w14:textId="77777777" w:rsidR="00794394" w:rsidRDefault="00794394" w:rsidP="00794394">
      <w:pPr>
        <w:rPr>
          <w:b/>
          <w:sz w:val="22"/>
          <w:szCs w:val="22"/>
        </w:rPr>
      </w:pPr>
    </w:p>
    <w:p w14:paraId="2D2491A1" w14:textId="77777777" w:rsidR="00794394" w:rsidRPr="00780885" w:rsidRDefault="00794394" w:rsidP="00794394">
      <w:pPr>
        <w:rPr>
          <w:b/>
          <w:sz w:val="22"/>
          <w:szCs w:val="22"/>
        </w:rPr>
      </w:pPr>
      <w:r w:rsidRPr="00780885">
        <w:rPr>
          <w:b/>
          <w:sz w:val="22"/>
          <w:szCs w:val="22"/>
        </w:rPr>
        <w:t xml:space="preserve">Business Meals and Entertainment  </w:t>
      </w:r>
    </w:p>
    <w:p w14:paraId="6EF39C29" w14:textId="77777777" w:rsidR="00794394" w:rsidRPr="00780885" w:rsidRDefault="00794394" w:rsidP="00794394">
      <w:pPr>
        <w:rPr>
          <w:sz w:val="22"/>
          <w:szCs w:val="22"/>
        </w:rPr>
      </w:pPr>
      <w:r w:rsidRPr="00780885">
        <w:rPr>
          <w:sz w:val="22"/>
          <w:szCs w:val="22"/>
        </w:rPr>
        <w:t>Business meals and entertainment with other Nutramax employees that are reasonable and related to business activities or facilitate the conduct of business are reimbursable. The names of each employee attending the business meal or entertainment must be included with the expense report. See the Meals While Traveling section of this policy for daily spending, tip, and alcohol guidelines. Entertainment should be approved in advance by the appropriate supervisor/manager.</w:t>
      </w:r>
    </w:p>
    <w:p w14:paraId="12BAC676" w14:textId="77777777" w:rsidR="00794394" w:rsidRPr="00780885" w:rsidRDefault="00794394" w:rsidP="00794394">
      <w:pPr>
        <w:rPr>
          <w:sz w:val="22"/>
          <w:szCs w:val="22"/>
        </w:rPr>
      </w:pPr>
      <w:r w:rsidRPr="00780885">
        <w:rPr>
          <w:sz w:val="22"/>
          <w:szCs w:val="22"/>
        </w:rPr>
        <w:t>Business meals and entertainment with persons outside of Nutramax that are reasonable and related to business activities or facilitate the conduct of business are reimbursable. See Business Gifts, Entertainment and Conflict of Interest Policy for guidelines. The names of each employee and non-employee, including the non-employee’s company/business relationship, attending the business meal or entertainment must be included with the expense report. See the Meals While Traveling section of this Policy for daily spending and tip guidelines and the Alcohol Policy section. Entertainment should be approved in advance by the appropriate supervisor/manager.</w:t>
      </w:r>
    </w:p>
    <w:p w14:paraId="225C5032" w14:textId="77777777" w:rsidR="00794394" w:rsidRDefault="00794394" w:rsidP="00794394">
      <w:pPr>
        <w:rPr>
          <w:b/>
          <w:bCs/>
          <w:sz w:val="22"/>
          <w:szCs w:val="22"/>
        </w:rPr>
      </w:pPr>
    </w:p>
    <w:p w14:paraId="4A7D51E6" w14:textId="77777777" w:rsidR="00794394" w:rsidRPr="00780885" w:rsidRDefault="00794394" w:rsidP="00794394">
      <w:pPr>
        <w:rPr>
          <w:b/>
          <w:sz w:val="22"/>
          <w:szCs w:val="22"/>
        </w:rPr>
      </w:pPr>
      <w:r w:rsidRPr="00780885">
        <w:rPr>
          <w:b/>
          <w:bCs/>
          <w:sz w:val="22"/>
          <w:szCs w:val="22"/>
        </w:rPr>
        <w:t xml:space="preserve">Lodging </w:t>
      </w:r>
    </w:p>
    <w:p w14:paraId="44BBC630" w14:textId="77777777" w:rsidR="00794394" w:rsidRPr="00780885" w:rsidRDefault="00794394" w:rsidP="00794394">
      <w:pPr>
        <w:rPr>
          <w:sz w:val="22"/>
          <w:szCs w:val="22"/>
        </w:rPr>
      </w:pPr>
      <w:r w:rsidRPr="00780885">
        <w:rPr>
          <w:sz w:val="22"/>
          <w:szCs w:val="22"/>
        </w:rPr>
        <w:t xml:space="preserve">In certain cities and locales near Nutramax facilities, Nutramax has negotiated discounted room rates with specific hotels. Employees should make every effort to utilize such lodging in locations where these arrangements exist. Information regarding the hotels where we have established corporate rates may be obtained by contacting Human Resources. When unable to utilize a hotel with a negotiated rate, prudent judgment should be used when selecting a hotel. </w:t>
      </w:r>
    </w:p>
    <w:p w14:paraId="72AEECE9" w14:textId="77777777" w:rsidR="00794394" w:rsidRPr="00780885" w:rsidRDefault="00794394" w:rsidP="00794394">
      <w:pPr>
        <w:rPr>
          <w:sz w:val="22"/>
          <w:szCs w:val="22"/>
        </w:rPr>
      </w:pPr>
      <w:r w:rsidRPr="00780885">
        <w:rPr>
          <w:sz w:val="22"/>
          <w:szCs w:val="22"/>
        </w:rPr>
        <w:t xml:space="preserve">For all lodging expenditures, hotel receipts must be submitted; credit card charge slips or line-items on credit card statements do not represent adequate supporting documentation. Charges on hotel bills for separately reported expenses such as meals, parking, etc. should be broken out and reported in the appropriate expense report categories. </w:t>
      </w:r>
    </w:p>
    <w:p w14:paraId="3BC39FCE" w14:textId="77777777" w:rsidR="00794394" w:rsidRPr="00780885" w:rsidRDefault="00794394" w:rsidP="00794394">
      <w:pPr>
        <w:rPr>
          <w:sz w:val="22"/>
          <w:szCs w:val="22"/>
        </w:rPr>
      </w:pPr>
      <w:r w:rsidRPr="00780885">
        <w:rPr>
          <w:bCs/>
          <w:sz w:val="22"/>
          <w:szCs w:val="22"/>
        </w:rPr>
        <w:t>Lodging is not reimbursable if the lodging</w:t>
      </w:r>
      <w:r w:rsidRPr="00780885">
        <w:rPr>
          <w:sz w:val="22"/>
          <w:szCs w:val="22"/>
        </w:rPr>
        <w:t xml:space="preserve"> site is within a 60-mile radius of the traveler's residence or office, except in those rare cases where extended work hours may require lodging for the safety of the employee. Nutramax will not reimburse an employee for separate travel costs associated with his/her spouse or partner. However, the cost of a shared hotel room need not be allocated between an employee and his/her spouse or partner for purposes of this Policy. </w:t>
      </w:r>
    </w:p>
    <w:p w14:paraId="5AD670BC" w14:textId="77777777" w:rsidR="00794394" w:rsidRDefault="00794394" w:rsidP="00794394">
      <w:pPr>
        <w:rPr>
          <w:b/>
          <w:bCs/>
          <w:sz w:val="22"/>
          <w:szCs w:val="22"/>
        </w:rPr>
      </w:pPr>
    </w:p>
    <w:p w14:paraId="6FAFC066" w14:textId="77777777" w:rsidR="00794394" w:rsidRPr="00780885" w:rsidRDefault="00794394" w:rsidP="00794394">
      <w:pPr>
        <w:rPr>
          <w:b/>
          <w:sz w:val="22"/>
          <w:szCs w:val="22"/>
        </w:rPr>
      </w:pPr>
      <w:r w:rsidRPr="00780885">
        <w:rPr>
          <w:b/>
          <w:bCs/>
          <w:sz w:val="22"/>
          <w:szCs w:val="22"/>
        </w:rPr>
        <w:t xml:space="preserve">Rental Cars </w:t>
      </w:r>
    </w:p>
    <w:p w14:paraId="4474FCAB" w14:textId="77777777" w:rsidR="00794394" w:rsidRPr="00780885" w:rsidRDefault="00794394" w:rsidP="00794394">
      <w:pPr>
        <w:rPr>
          <w:sz w:val="22"/>
          <w:szCs w:val="22"/>
        </w:rPr>
      </w:pPr>
      <w:r w:rsidRPr="00780885">
        <w:rPr>
          <w:sz w:val="22"/>
          <w:szCs w:val="22"/>
        </w:rPr>
        <w:t xml:space="preserve">It is expected that reservations will be made utilizing the Nutramax preferred rental company where Nutramax has negotiated corporate rates. Employees travelling to the same location should share rental cars whenever possible. See the Human Resources/Employee Discount page on the </w:t>
      </w:r>
      <w:proofErr w:type="spellStart"/>
      <w:r w:rsidRPr="00780885">
        <w:rPr>
          <w:sz w:val="22"/>
          <w:szCs w:val="22"/>
        </w:rPr>
        <w:t>Nutranet</w:t>
      </w:r>
      <w:proofErr w:type="spellEnd"/>
      <w:r w:rsidRPr="00780885">
        <w:rPr>
          <w:sz w:val="22"/>
          <w:szCs w:val="22"/>
        </w:rPr>
        <w:t xml:space="preserve"> for the current preferred providers.</w:t>
      </w:r>
    </w:p>
    <w:p w14:paraId="570E1073" w14:textId="77777777" w:rsidR="00794394" w:rsidRPr="00780885" w:rsidRDefault="00794394" w:rsidP="00794394">
      <w:pPr>
        <w:rPr>
          <w:rFonts w:cstheme="minorHAnsi"/>
          <w:sz w:val="22"/>
          <w:szCs w:val="22"/>
        </w:rPr>
      </w:pPr>
      <w:proofErr w:type="spellStart"/>
      <w:r w:rsidRPr="00780885">
        <w:rPr>
          <w:rFonts w:cstheme="minorHAnsi"/>
          <w:sz w:val="22"/>
          <w:szCs w:val="22"/>
        </w:rPr>
        <w:t>Nutramax’s</w:t>
      </w:r>
      <w:proofErr w:type="spellEnd"/>
      <w:r w:rsidRPr="00780885">
        <w:rPr>
          <w:rFonts w:cstheme="minorHAnsi"/>
          <w:sz w:val="22"/>
          <w:szCs w:val="22"/>
        </w:rPr>
        <w:t xml:space="preserve"> </w:t>
      </w:r>
      <w:r w:rsidRPr="00780885">
        <w:rPr>
          <w:rFonts w:cstheme="minorHAnsi"/>
          <w:color w:val="252525"/>
          <w:sz w:val="22"/>
          <w:szCs w:val="22"/>
          <w:shd w:val="clear" w:color="auto" w:fill="FFFFFF"/>
        </w:rPr>
        <w:t>insurance will cover both the employee and the vehicle when a vehicle is rented for business purposes. Accordingly, employees should not purchase additional insurance coverage from the rental car company. In the event of an accident, employees should report the same to the Human Resources or the Legal Department.</w:t>
      </w:r>
    </w:p>
    <w:p w14:paraId="5199EDEF" w14:textId="77777777" w:rsidR="00794394" w:rsidRDefault="00794394" w:rsidP="00794394">
      <w:pPr>
        <w:rPr>
          <w:b/>
          <w:bCs/>
          <w:sz w:val="22"/>
          <w:szCs w:val="22"/>
        </w:rPr>
      </w:pPr>
    </w:p>
    <w:p w14:paraId="1949C1B8" w14:textId="77777777" w:rsidR="00794394" w:rsidRPr="00780885" w:rsidRDefault="00794394" w:rsidP="00794394">
      <w:pPr>
        <w:rPr>
          <w:b/>
          <w:sz w:val="22"/>
          <w:szCs w:val="22"/>
        </w:rPr>
      </w:pPr>
      <w:r w:rsidRPr="00780885">
        <w:rPr>
          <w:b/>
          <w:bCs/>
          <w:sz w:val="22"/>
          <w:szCs w:val="22"/>
        </w:rPr>
        <w:t>Personal Vehicles</w:t>
      </w:r>
    </w:p>
    <w:p w14:paraId="3D9965CB" w14:textId="77777777" w:rsidR="00794394" w:rsidRPr="00780885" w:rsidRDefault="00794394" w:rsidP="00794394">
      <w:pPr>
        <w:rPr>
          <w:sz w:val="22"/>
          <w:szCs w:val="22"/>
        </w:rPr>
      </w:pPr>
      <w:r w:rsidRPr="00780885">
        <w:rPr>
          <w:sz w:val="22"/>
          <w:szCs w:val="22"/>
        </w:rPr>
        <w:lastRenderedPageBreak/>
        <w:t xml:space="preserve">Employees who utilize personal vehicles for business purposes are required to have a valid driver’s license and at least the minimum insurance coverage required by law. Employees using a personal vehicle for business purposes should ensure that their automobile insurance covers business travel. Mileage for business purposes will be reimbursed at the currently allowable IRS rate. Business purposes include mileage to and from local meetings, but only the miles </w:t>
      </w:r>
      <w:proofErr w:type="gramStart"/>
      <w:r w:rsidRPr="00780885">
        <w:rPr>
          <w:sz w:val="22"/>
          <w:szCs w:val="22"/>
        </w:rPr>
        <w:t>in excess of</w:t>
      </w:r>
      <w:proofErr w:type="gramEnd"/>
      <w:r w:rsidRPr="00780885">
        <w:rPr>
          <w:sz w:val="22"/>
          <w:szCs w:val="22"/>
        </w:rPr>
        <w:t xml:space="preserve"> the employee’s normal commute will be reimbursable. </w:t>
      </w:r>
    </w:p>
    <w:p w14:paraId="40E2EE32" w14:textId="77777777" w:rsidR="00794394" w:rsidRPr="00780885" w:rsidRDefault="00794394" w:rsidP="00794394">
      <w:pPr>
        <w:rPr>
          <w:sz w:val="22"/>
          <w:szCs w:val="22"/>
          <w:u w:val="single"/>
        </w:rPr>
      </w:pPr>
      <w:r w:rsidRPr="00780885">
        <w:rPr>
          <w:sz w:val="22"/>
          <w:szCs w:val="22"/>
        </w:rPr>
        <w:t xml:space="preserve">Primary insurance for employees who use their personal vehicles for business purposes shall be through their own personal automobile insurance policy. Employees will be responsible for any damage to the vehicle, as well as for liability. </w:t>
      </w:r>
    </w:p>
    <w:p w14:paraId="5CD8B8A6" w14:textId="77777777" w:rsidR="00794394" w:rsidRPr="00780885" w:rsidRDefault="00794394" w:rsidP="00794394">
      <w:pPr>
        <w:rPr>
          <w:sz w:val="22"/>
          <w:szCs w:val="22"/>
        </w:rPr>
      </w:pPr>
      <w:r w:rsidRPr="00780885">
        <w:rPr>
          <w:sz w:val="22"/>
          <w:szCs w:val="22"/>
        </w:rPr>
        <w:t xml:space="preserve">The expenses related to gasoline consumed by personal vehicles are the responsibility of the employee and shall not be reimbursed beyond the amount allocated to mileage reimbursement at the currently allowable IRS rate. The owner/driver of the vehicle is responsible for all parking fines and moving violation tickets, towing charges, or vehicle repairs and maintenance. Employees in Veterinary Sales should refer to the Personal Automobile Usage Policy – Veterinary Science Division, for more specific reimbursement and record keeping requirements. </w:t>
      </w:r>
    </w:p>
    <w:p w14:paraId="013092E6" w14:textId="77777777" w:rsidR="00794394" w:rsidRDefault="00794394" w:rsidP="00794394">
      <w:pPr>
        <w:rPr>
          <w:b/>
          <w:bCs/>
          <w:sz w:val="22"/>
          <w:szCs w:val="22"/>
        </w:rPr>
      </w:pPr>
    </w:p>
    <w:p w14:paraId="3F8025D2" w14:textId="77777777" w:rsidR="00794394" w:rsidRPr="00780885" w:rsidRDefault="00794394" w:rsidP="00794394">
      <w:pPr>
        <w:rPr>
          <w:b/>
          <w:sz w:val="22"/>
          <w:szCs w:val="22"/>
        </w:rPr>
      </w:pPr>
      <w:r w:rsidRPr="00780885">
        <w:rPr>
          <w:b/>
          <w:bCs/>
          <w:sz w:val="22"/>
          <w:szCs w:val="22"/>
        </w:rPr>
        <w:t xml:space="preserve">Air Travel </w:t>
      </w:r>
    </w:p>
    <w:p w14:paraId="3237BFD5" w14:textId="77777777" w:rsidR="00794394" w:rsidRPr="00780885" w:rsidRDefault="00794394" w:rsidP="00794394">
      <w:pPr>
        <w:rPr>
          <w:sz w:val="22"/>
          <w:szCs w:val="22"/>
          <w:u w:val="single"/>
        </w:rPr>
      </w:pPr>
      <w:r w:rsidRPr="00780885">
        <w:rPr>
          <w:sz w:val="22"/>
          <w:szCs w:val="22"/>
        </w:rPr>
        <w:t>Nutramax employees are expected to seek out the lowest logical coach-class airfare when traveling. Flights should be booked as soon as travel dates are set to take advantage of advance pricing. Personal frequent flyer credits may be used to upgrade travel class; however, no reimbursement will be made to the employee for the business use of frequent flyer credits. However, employees may personally retain frequent flyer awards that accrue from business travel. Expenses related to seat upgrades would be reimbursable only due to limitations on availability of seats without an upgrade fee. Checked baggage fees should only be incurred when carry-on luggage is not reasonable, or employee is transporting materials belonging to Nutramax.</w:t>
      </w:r>
      <w:r w:rsidRPr="00780885">
        <w:rPr>
          <w:sz w:val="22"/>
          <w:szCs w:val="22"/>
          <w:u w:val="single"/>
        </w:rPr>
        <w:t xml:space="preserve"> </w:t>
      </w:r>
    </w:p>
    <w:p w14:paraId="1FC72BD1" w14:textId="77777777" w:rsidR="00794394" w:rsidRPr="00780885" w:rsidRDefault="00794394" w:rsidP="00794394">
      <w:pPr>
        <w:rPr>
          <w:sz w:val="22"/>
          <w:szCs w:val="22"/>
        </w:rPr>
      </w:pPr>
      <w:r w:rsidRPr="00780885">
        <w:rPr>
          <w:sz w:val="22"/>
          <w:szCs w:val="22"/>
        </w:rPr>
        <w:t>The cost of cancelling and/or rebooking of flights are not reimbursable, unless it can be shown that it was necessary or required for legitimate business reasons (such as a changed meeting date). Flight insurance needs to be approved by the CFO prior to being purchased.</w:t>
      </w:r>
    </w:p>
    <w:p w14:paraId="36E8B7CF" w14:textId="77777777" w:rsidR="00794394" w:rsidRPr="00780885" w:rsidRDefault="00794394" w:rsidP="00794394">
      <w:pPr>
        <w:rPr>
          <w:b/>
          <w:sz w:val="22"/>
          <w:szCs w:val="22"/>
        </w:rPr>
      </w:pPr>
      <w:r w:rsidRPr="00780885">
        <w:rPr>
          <w:b/>
          <w:sz w:val="22"/>
          <w:szCs w:val="22"/>
        </w:rPr>
        <w:t>See the International Travel section of this Policy for additional air travel exceptions.</w:t>
      </w:r>
    </w:p>
    <w:p w14:paraId="18E05399" w14:textId="77777777" w:rsidR="00794394" w:rsidRDefault="00794394" w:rsidP="00794394">
      <w:pPr>
        <w:rPr>
          <w:b/>
          <w:sz w:val="22"/>
          <w:szCs w:val="22"/>
          <w:u w:val="single"/>
        </w:rPr>
      </w:pPr>
    </w:p>
    <w:p w14:paraId="70F3CE6D" w14:textId="77777777" w:rsidR="00794394" w:rsidRPr="00780885" w:rsidRDefault="00794394" w:rsidP="00794394">
      <w:pPr>
        <w:rPr>
          <w:b/>
          <w:sz w:val="22"/>
          <w:szCs w:val="22"/>
          <w:u w:val="single"/>
        </w:rPr>
      </w:pPr>
      <w:r w:rsidRPr="00780885">
        <w:rPr>
          <w:b/>
          <w:sz w:val="22"/>
          <w:szCs w:val="22"/>
          <w:u w:val="single"/>
        </w:rPr>
        <w:t xml:space="preserve">Non-Reimbursable Expenses: </w:t>
      </w:r>
    </w:p>
    <w:p w14:paraId="54430E21" w14:textId="77777777" w:rsidR="00794394" w:rsidRDefault="00794394" w:rsidP="00794394">
      <w:pPr>
        <w:pStyle w:val="NoSpacing"/>
        <w:numPr>
          <w:ilvl w:val="0"/>
          <w:numId w:val="2"/>
        </w:numPr>
      </w:pPr>
      <w:r w:rsidRPr="00780885">
        <w:t xml:space="preserve">Airline club dues </w:t>
      </w:r>
    </w:p>
    <w:p w14:paraId="2B81DC6F" w14:textId="77777777" w:rsidR="00794394" w:rsidRPr="00780885" w:rsidRDefault="00794394" w:rsidP="00794394">
      <w:pPr>
        <w:pStyle w:val="NoSpacing"/>
        <w:numPr>
          <w:ilvl w:val="0"/>
          <w:numId w:val="2"/>
        </w:numPr>
      </w:pPr>
      <w:r>
        <w:t>Seat upgrades – Unless documentation is provided that an upgrade was the only available option – such as a screenshot of the seating chart</w:t>
      </w:r>
    </w:p>
    <w:p w14:paraId="2FF25D00" w14:textId="77777777" w:rsidR="00794394" w:rsidRPr="00780885" w:rsidRDefault="00794394" w:rsidP="00794394">
      <w:pPr>
        <w:pStyle w:val="NoSpacing"/>
        <w:numPr>
          <w:ilvl w:val="0"/>
          <w:numId w:val="2"/>
        </w:numPr>
      </w:pPr>
      <w:r w:rsidRPr="00780885">
        <w:t>First class or business class airfare (without prior approval for overseas travel)</w:t>
      </w:r>
    </w:p>
    <w:p w14:paraId="7FE69832" w14:textId="77777777" w:rsidR="00794394" w:rsidRPr="00780885" w:rsidRDefault="00794394" w:rsidP="00794394">
      <w:pPr>
        <w:pStyle w:val="NoSpacing"/>
        <w:numPr>
          <w:ilvl w:val="0"/>
          <w:numId w:val="2"/>
        </w:numPr>
      </w:pPr>
      <w:r w:rsidRPr="00780885">
        <w:t xml:space="preserve">In-flight entertainment </w:t>
      </w:r>
    </w:p>
    <w:p w14:paraId="4C69B624" w14:textId="77777777" w:rsidR="00794394" w:rsidRPr="00780885" w:rsidRDefault="00794394" w:rsidP="00794394">
      <w:pPr>
        <w:pStyle w:val="NoSpacing"/>
        <w:numPr>
          <w:ilvl w:val="0"/>
          <w:numId w:val="2"/>
        </w:numPr>
      </w:pPr>
      <w:r w:rsidRPr="00780885">
        <w:t xml:space="preserve">Hotel in-room movies or other forms of personal entertainment </w:t>
      </w:r>
    </w:p>
    <w:p w14:paraId="0E7D6636" w14:textId="77777777" w:rsidR="00794394" w:rsidRPr="00780885" w:rsidRDefault="00794394" w:rsidP="00794394">
      <w:pPr>
        <w:pStyle w:val="NoSpacing"/>
        <w:numPr>
          <w:ilvl w:val="0"/>
          <w:numId w:val="2"/>
        </w:numPr>
      </w:pPr>
      <w:r w:rsidRPr="00780885">
        <w:t xml:space="preserve">Child/pet care costs </w:t>
      </w:r>
    </w:p>
    <w:p w14:paraId="7BC6E501" w14:textId="77777777" w:rsidR="00794394" w:rsidRPr="00780885" w:rsidRDefault="00794394" w:rsidP="00794394">
      <w:pPr>
        <w:pStyle w:val="NoSpacing"/>
        <w:numPr>
          <w:ilvl w:val="0"/>
          <w:numId w:val="2"/>
        </w:numPr>
      </w:pPr>
      <w:r w:rsidRPr="00780885">
        <w:t xml:space="preserve">Barbers/hairstylists/salon/spa </w:t>
      </w:r>
    </w:p>
    <w:p w14:paraId="184C4AD5" w14:textId="77777777" w:rsidR="00794394" w:rsidRPr="00780885" w:rsidRDefault="00794394" w:rsidP="00794394">
      <w:pPr>
        <w:pStyle w:val="NoSpacing"/>
        <w:numPr>
          <w:ilvl w:val="0"/>
          <w:numId w:val="2"/>
        </w:numPr>
      </w:pPr>
      <w:r w:rsidRPr="00780885">
        <w:t xml:space="preserve">Tips </w:t>
      </w:r>
      <w:proofErr w:type="gramStart"/>
      <w:r w:rsidRPr="00780885">
        <w:t>in excess of</w:t>
      </w:r>
      <w:proofErr w:type="gramEnd"/>
      <w:r w:rsidRPr="00780885">
        <w:t xml:space="preserve"> 20% and/or tips in addition to pre-applied gratuity </w:t>
      </w:r>
    </w:p>
    <w:p w14:paraId="41DF7D68" w14:textId="77777777" w:rsidR="00794394" w:rsidRPr="00780885" w:rsidRDefault="00794394" w:rsidP="00794394">
      <w:pPr>
        <w:rPr>
          <w:sz w:val="22"/>
          <w:szCs w:val="22"/>
        </w:rPr>
      </w:pPr>
    </w:p>
    <w:p w14:paraId="35DAE92E" w14:textId="77777777" w:rsidR="00794394" w:rsidRPr="00780885" w:rsidRDefault="00794394" w:rsidP="00794394">
      <w:pPr>
        <w:rPr>
          <w:b/>
          <w:sz w:val="22"/>
          <w:szCs w:val="22"/>
        </w:rPr>
      </w:pPr>
      <w:r w:rsidRPr="00780885">
        <w:rPr>
          <w:b/>
          <w:sz w:val="22"/>
          <w:szCs w:val="22"/>
        </w:rPr>
        <w:t>International Travel:</w:t>
      </w:r>
    </w:p>
    <w:p w14:paraId="2A3060DB" w14:textId="77777777" w:rsidR="00794394" w:rsidRPr="00780885" w:rsidRDefault="00794394" w:rsidP="00794394">
      <w:pPr>
        <w:rPr>
          <w:sz w:val="22"/>
          <w:szCs w:val="22"/>
        </w:rPr>
      </w:pPr>
      <w:r w:rsidRPr="00780885">
        <w:rPr>
          <w:sz w:val="22"/>
          <w:szCs w:val="22"/>
        </w:rPr>
        <w:t xml:space="preserve">International travel requirements are specific to the various regions or countries and travel, accommodations and related costs can vary significantly. Employees who travel internationally may incur costs that would exceed the limits otherwise outlined in this Policy. Approving Supervisors/Manager will have the ability to approve such costs </w:t>
      </w:r>
      <w:proofErr w:type="gramStart"/>
      <w:r w:rsidRPr="00780885">
        <w:rPr>
          <w:sz w:val="22"/>
          <w:szCs w:val="22"/>
        </w:rPr>
        <w:t>in excess of</w:t>
      </w:r>
      <w:proofErr w:type="gramEnd"/>
      <w:r w:rsidRPr="00780885">
        <w:rPr>
          <w:sz w:val="22"/>
          <w:szCs w:val="22"/>
        </w:rPr>
        <w:t xml:space="preserve"> guidelines for international travel. </w:t>
      </w:r>
    </w:p>
    <w:p w14:paraId="1D006E8D" w14:textId="77777777" w:rsidR="00794394" w:rsidRPr="00780885" w:rsidRDefault="00794394" w:rsidP="00794394">
      <w:pPr>
        <w:rPr>
          <w:sz w:val="22"/>
          <w:szCs w:val="22"/>
        </w:rPr>
      </w:pPr>
      <w:r w:rsidRPr="00780885">
        <w:rPr>
          <w:sz w:val="22"/>
          <w:szCs w:val="22"/>
        </w:rPr>
        <w:t xml:space="preserve">International airfare may also include long-duration or overnight travel. An exception to the Policy requiring coach-class airfare may be granted for overseas trips, but require written pre-approval by the Chief Executive Officer, Executive Vice President, Chief Strategy Officer, or Chief Financial Officer. This written approval should be submitted along with the expense report documentation. </w:t>
      </w:r>
    </w:p>
    <w:p w14:paraId="349DEB85" w14:textId="77777777" w:rsidR="00794394" w:rsidRPr="00780885" w:rsidRDefault="00794394" w:rsidP="00794394">
      <w:pPr>
        <w:rPr>
          <w:sz w:val="22"/>
          <w:szCs w:val="22"/>
        </w:rPr>
      </w:pPr>
      <w:r w:rsidRPr="00780885">
        <w:rPr>
          <w:sz w:val="22"/>
          <w:szCs w:val="22"/>
        </w:rPr>
        <w:lastRenderedPageBreak/>
        <w:t xml:space="preserve">As is the case with domestic travel, it is expected that international travelers will use professional judgement when considering the unique circumstances associated with overseas travel. </w:t>
      </w:r>
    </w:p>
    <w:p w14:paraId="29610E0E" w14:textId="77777777" w:rsidR="00794394" w:rsidRDefault="00794394" w:rsidP="00794394">
      <w:pPr>
        <w:rPr>
          <w:sz w:val="22"/>
          <w:szCs w:val="22"/>
        </w:rPr>
      </w:pPr>
    </w:p>
    <w:p w14:paraId="5EE80771" w14:textId="77777777" w:rsidR="00794E69" w:rsidRDefault="00794E69"/>
    <w:sectPr w:rsidR="00794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6FD4"/>
    <w:multiLevelType w:val="hybridMultilevel"/>
    <w:tmpl w:val="DEAC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D3EA5"/>
    <w:multiLevelType w:val="hybridMultilevel"/>
    <w:tmpl w:val="F424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D2D98"/>
    <w:multiLevelType w:val="hybridMultilevel"/>
    <w:tmpl w:val="C890D8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190722">
    <w:abstractNumId w:val="2"/>
  </w:num>
  <w:num w:numId="2" w16cid:durableId="119035843">
    <w:abstractNumId w:val="1"/>
  </w:num>
  <w:num w:numId="3" w16cid:durableId="716702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394"/>
    <w:rsid w:val="005644B7"/>
    <w:rsid w:val="00794394"/>
    <w:rsid w:val="00794E69"/>
    <w:rsid w:val="00D37C3D"/>
    <w:rsid w:val="00E14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E7DB5"/>
  <w15:chartTrackingRefBased/>
  <w15:docId w15:val="{67FE0E54-37C0-4B8A-95FD-38ADB1AB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39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94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3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3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3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3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394"/>
    <w:rPr>
      <w:rFonts w:eastAsiaTheme="majorEastAsia" w:cstheme="majorBidi"/>
      <w:color w:val="272727" w:themeColor="text1" w:themeTint="D8"/>
    </w:rPr>
  </w:style>
  <w:style w:type="paragraph" w:styleId="Title">
    <w:name w:val="Title"/>
    <w:basedOn w:val="Normal"/>
    <w:next w:val="Normal"/>
    <w:link w:val="TitleChar"/>
    <w:uiPriority w:val="10"/>
    <w:qFormat/>
    <w:rsid w:val="007943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394"/>
    <w:pPr>
      <w:spacing w:before="160"/>
      <w:jc w:val="center"/>
    </w:pPr>
    <w:rPr>
      <w:i/>
      <w:iCs/>
      <w:color w:val="404040" w:themeColor="text1" w:themeTint="BF"/>
    </w:rPr>
  </w:style>
  <w:style w:type="character" w:customStyle="1" w:styleId="QuoteChar">
    <w:name w:val="Quote Char"/>
    <w:basedOn w:val="DefaultParagraphFont"/>
    <w:link w:val="Quote"/>
    <w:uiPriority w:val="29"/>
    <w:rsid w:val="00794394"/>
    <w:rPr>
      <w:i/>
      <w:iCs/>
      <w:color w:val="404040" w:themeColor="text1" w:themeTint="BF"/>
    </w:rPr>
  </w:style>
  <w:style w:type="paragraph" w:styleId="ListParagraph">
    <w:name w:val="List Paragraph"/>
    <w:basedOn w:val="Normal"/>
    <w:uiPriority w:val="34"/>
    <w:qFormat/>
    <w:rsid w:val="00794394"/>
    <w:pPr>
      <w:ind w:left="720"/>
      <w:contextualSpacing/>
    </w:pPr>
  </w:style>
  <w:style w:type="character" w:styleId="IntenseEmphasis">
    <w:name w:val="Intense Emphasis"/>
    <w:basedOn w:val="DefaultParagraphFont"/>
    <w:uiPriority w:val="21"/>
    <w:qFormat/>
    <w:rsid w:val="00794394"/>
    <w:rPr>
      <w:i/>
      <w:iCs/>
      <w:color w:val="0F4761" w:themeColor="accent1" w:themeShade="BF"/>
    </w:rPr>
  </w:style>
  <w:style w:type="paragraph" w:styleId="IntenseQuote">
    <w:name w:val="Intense Quote"/>
    <w:basedOn w:val="Normal"/>
    <w:next w:val="Normal"/>
    <w:link w:val="IntenseQuoteChar"/>
    <w:uiPriority w:val="30"/>
    <w:qFormat/>
    <w:rsid w:val="00794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394"/>
    <w:rPr>
      <w:i/>
      <w:iCs/>
      <w:color w:val="0F4761" w:themeColor="accent1" w:themeShade="BF"/>
    </w:rPr>
  </w:style>
  <w:style w:type="character" w:styleId="IntenseReference">
    <w:name w:val="Intense Reference"/>
    <w:basedOn w:val="DefaultParagraphFont"/>
    <w:uiPriority w:val="32"/>
    <w:qFormat/>
    <w:rsid w:val="00794394"/>
    <w:rPr>
      <w:b/>
      <w:bCs/>
      <w:smallCaps/>
      <w:color w:val="0F4761" w:themeColor="accent1" w:themeShade="BF"/>
      <w:spacing w:val="5"/>
    </w:rPr>
  </w:style>
  <w:style w:type="character" w:styleId="Hyperlink">
    <w:name w:val="Hyperlink"/>
    <w:rsid w:val="00794394"/>
    <w:rPr>
      <w:color w:val="0000FF"/>
      <w:u w:val="single"/>
    </w:rPr>
  </w:style>
  <w:style w:type="paragraph" w:customStyle="1" w:styleId="H2">
    <w:name w:val="H2"/>
    <w:basedOn w:val="Normal"/>
    <w:link w:val="H2Char"/>
    <w:autoRedefine/>
    <w:qFormat/>
    <w:rsid w:val="00794394"/>
    <w:pPr>
      <w:keepNext/>
      <w:autoSpaceDE w:val="0"/>
      <w:autoSpaceDN w:val="0"/>
      <w:adjustRightInd w:val="0"/>
      <w:spacing w:before="360" w:after="120"/>
      <w:jc w:val="both"/>
    </w:pPr>
    <w:rPr>
      <w:rFonts w:ascii="Times New Roman Bold" w:eastAsia="SimSun" w:hAnsi="Times New Roman Bold"/>
      <w:sz w:val="22"/>
      <w:szCs w:val="28"/>
      <w:lang w:val="en"/>
    </w:rPr>
  </w:style>
  <w:style w:type="character" w:customStyle="1" w:styleId="H2Char">
    <w:name w:val="H2 Char"/>
    <w:basedOn w:val="DefaultParagraphFont"/>
    <w:link w:val="H2"/>
    <w:rsid w:val="00794394"/>
    <w:rPr>
      <w:rFonts w:ascii="Times New Roman Bold" w:eastAsia="SimSun" w:hAnsi="Times New Roman Bold" w:cs="Times New Roman"/>
      <w:kern w:val="0"/>
      <w:szCs w:val="28"/>
      <w:lang w:val="en"/>
      <w14:ligatures w14:val="none"/>
    </w:rPr>
  </w:style>
  <w:style w:type="paragraph" w:styleId="NoSpacing">
    <w:name w:val="No Spacing"/>
    <w:link w:val="NoSpacingChar"/>
    <w:uiPriority w:val="1"/>
    <w:qFormat/>
    <w:rsid w:val="00794394"/>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94394"/>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Server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2114</Words>
  <Characters>12050</Characters>
  <Application>Microsoft Office Word</Application>
  <DocSecurity>0</DocSecurity>
  <Lines>100</Lines>
  <Paragraphs>28</Paragraphs>
  <ScaleCrop>false</ScaleCrop>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McGevna</dc:creator>
  <cp:keywords/>
  <dc:description/>
  <cp:lastModifiedBy>Patty McGevna</cp:lastModifiedBy>
  <cp:revision>1</cp:revision>
  <dcterms:created xsi:type="dcterms:W3CDTF">2025-09-23T18:03:00Z</dcterms:created>
  <dcterms:modified xsi:type="dcterms:W3CDTF">2025-09-23T18:04:00Z</dcterms:modified>
</cp:coreProperties>
</file>